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E6C9F" w14:textId="77777777" w:rsidR="005E3B6E" w:rsidRPr="001F02E3" w:rsidRDefault="005E3B6E" w:rsidP="001F02E3">
      <w:pPr>
        <w:spacing w:before="0" w:after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F02E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ӘЛ-ФАРАБИ АТЫНДАҒЫ ҚАЗАҚ ҰЛТТЫҚ УНИВЕРСИТЕТІ</w:t>
      </w:r>
    </w:p>
    <w:p w14:paraId="160FF308" w14:textId="77777777" w:rsidR="001F02E3" w:rsidRPr="001F02E3" w:rsidRDefault="001F02E3" w:rsidP="001F02E3">
      <w:pPr>
        <w:spacing w:before="0" w:after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14:paraId="17E39CEE" w14:textId="26473D86" w:rsidR="005E3B6E" w:rsidRPr="001F02E3" w:rsidRDefault="001F02E3" w:rsidP="001F02E3">
      <w:pPr>
        <w:spacing w:before="0" w:after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F02E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ГЕОГРАФИЯ ЖӘНЕ ТАБИҒАТТЫ ПАЙДАЛАНУ ФАКУЛЬТЕТІ</w:t>
      </w:r>
    </w:p>
    <w:p w14:paraId="12080F7C" w14:textId="77777777" w:rsidR="005E3B6E" w:rsidRPr="001F02E3" w:rsidRDefault="005E3B6E" w:rsidP="001F02E3">
      <w:pPr>
        <w:spacing w:before="0" w:after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14:paraId="5A46C44A" w14:textId="524105B7" w:rsidR="005E3B6E" w:rsidRPr="001F02E3" w:rsidRDefault="001F02E3" w:rsidP="001F02E3">
      <w:pPr>
        <w:spacing w:before="0" w:after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F02E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ГЕОГРАФИЯ, ЖЕРГЕ ОРНАЛАСТЫРУ ЖӘНЕ КАДАСТР КАФЕДРАСЫ</w:t>
      </w:r>
    </w:p>
    <w:p w14:paraId="67E52638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CF81C4A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5623CF1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4C8BF46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45E8C1C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A320A67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C5F18E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D089C8" w14:textId="77777777"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B0EC5F0" w14:textId="77777777" w:rsidR="001F02E3" w:rsidRPr="001F02E3" w:rsidRDefault="001F02E3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0D6166" w14:textId="77777777" w:rsidR="001F02E3" w:rsidRPr="001F02E3" w:rsidRDefault="001F02E3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2E5EA4D" w14:textId="77777777" w:rsidR="001F02E3" w:rsidRPr="001F02E3" w:rsidRDefault="001F02E3" w:rsidP="001F02E3">
      <w:pPr>
        <w:contextualSpacing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  <w:lang w:val="kk-KZ"/>
        </w:rPr>
      </w:pPr>
      <w:r w:rsidRPr="001F02E3">
        <w:rPr>
          <w:rFonts w:ascii="Times New Roman" w:hAnsi="Times New Roman" w:cs="Times New Roman"/>
          <w:bCs/>
          <w:caps/>
          <w:color w:val="000000"/>
          <w:sz w:val="28"/>
          <w:szCs w:val="28"/>
          <w:lang w:val="kk-KZ"/>
        </w:rPr>
        <w:t>ПӘН БОЙЫНША ҚОРЫТЫНДЫ ЕМТИХАН БАҒДАРЛАМАСЫ</w:t>
      </w:r>
    </w:p>
    <w:p w14:paraId="0C1F602A" w14:textId="77777777" w:rsidR="001F02E3" w:rsidRPr="001F02E3" w:rsidRDefault="001F02E3" w:rsidP="001F02E3">
      <w:pPr>
        <w:contextualSpacing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  <w:lang w:val="kk-KZ"/>
        </w:rPr>
      </w:pPr>
    </w:p>
    <w:p w14:paraId="0B42BC83" w14:textId="20E75262" w:rsidR="005E3B6E" w:rsidRPr="001F02E3" w:rsidRDefault="001F02E3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02E3">
        <w:rPr>
          <w:rFonts w:ascii="Times New Roman" w:hAnsi="Times New Roman" w:cs="Times New Roman"/>
          <w:b/>
          <w:sz w:val="28"/>
          <w:szCs w:val="28"/>
          <w:lang w:val="kk-KZ"/>
        </w:rPr>
        <w:t>VDZAI 4</w:t>
      </w:r>
      <w:r w:rsidR="000C3BF8" w:rsidRPr="000C3BF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02E3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0C3BF8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1F02E3"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  <w:t xml:space="preserve"> «</w:t>
      </w:r>
      <w:bookmarkStart w:id="0" w:name="_Hlk181648696"/>
      <w:r w:rsidRPr="001F02E3">
        <w:rPr>
          <w:rFonts w:ascii="Times New Roman" w:hAnsi="Times New Roman" w:cs="Times New Roman"/>
          <w:b/>
          <w:sz w:val="28"/>
          <w:szCs w:val="28"/>
          <w:lang w:val="kk-KZ"/>
        </w:rPr>
        <w:t>Арақашықтықтан зерделеуге кіріспе және бейнелерді талдау</w:t>
      </w:r>
      <w:bookmarkEnd w:id="0"/>
      <w:r w:rsidRPr="001F02E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13FD44AD" w14:textId="77777777" w:rsidR="001F02E3" w:rsidRPr="001F02E3" w:rsidRDefault="001F02E3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</w:pPr>
    </w:p>
    <w:p w14:paraId="1A46B500" w14:textId="4AFB3356" w:rsidR="005E3B6E" w:rsidRPr="001F02E3" w:rsidRDefault="005E3B6E" w:rsidP="005E3B6E">
      <w:pPr>
        <w:contextualSpacing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  <w:lang w:val="kk-KZ"/>
        </w:rPr>
      </w:pPr>
      <w:r w:rsidRPr="001F02E3">
        <w:rPr>
          <w:rFonts w:ascii="Times New Roman" w:hAnsi="Times New Roman" w:cs="Times New Roman"/>
          <w:bCs/>
          <w:caps/>
          <w:color w:val="000000"/>
          <w:sz w:val="28"/>
          <w:szCs w:val="28"/>
          <w:lang w:val="kk-KZ"/>
        </w:rPr>
        <w:t>«</w:t>
      </w:r>
      <w:r w:rsidR="00CE672E" w:rsidRPr="001F02E3">
        <w:rPr>
          <w:rFonts w:ascii="Times New Roman" w:hAnsi="Times New Roman" w:cs="Times New Roman"/>
          <w:bCs/>
          <w:caps/>
          <w:color w:val="000000"/>
          <w:sz w:val="28"/>
          <w:szCs w:val="28"/>
          <w:lang w:val="kk-KZ"/>
        </w:rPr>
        <w:t>6B05205</w:t>
      </w:r>
      <w:r w:rsidRPr="001F02E3">
        <w:rPr>
          <w:rFonts w:ascii="Times New Roman" w:hAnsi="Times New Roman" w:cs="Times New Roman"/>
          <w:bCs/>
          <w:caps/>
          <w:color w:val="000000"/>
          <w:sz w:val="28"/>
          <w:szCs w:val="28"/>
          <w:lang w:val="kk-KZ"/>
        </w:rPr>
        <w:t xml:space="preserve"> </w:t>
      </w:r>
      <w:r w:rsidR="00ED5DCE" w:rsidRPr="001F02E3">
        <w:rPr>
          <w:rFonts w:ascii="Times New Roman" w:hAnsi="Times New Roman" w:cs="Times New Roman"/>
          <w:bCs/>
          <w:caps/>
          <w:color w:val="000000"/>
          <w:sz w:val="28"/>
          <w:szCs w:val="28"/>
          <w:lang w:val="kk-KZ"/>
        </w:rPr>
        <w:t>–</w:t>
      </w:r>
      <w:r w:rsidR="00CE672E" w:rsidRPr="001F02E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География</w:t>
      </w:r>
      <w:r w:rsidRPr="001F02E3">
        <w:rPr>
          <w:rFonts w:ascii="Times New Roman" w:hAnsi="Times New Roman" w:cs="Times New Roman"/>
          <w:bCs/>
          <w:caps/>
          <w:color w:val="000000"/>
          <w:sz w:val="28"/>
          <w:szCs w:val="28"/>
          <w:lang w:val="kk-KZ"/>
        </w:rPr>
        <w:t xml:space="preserve">» </w:t>
      </w:r>
      <w:r w:rsidR="001F02E3" w:rsidRPr="001F02E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білім беру бағдарламасы</w:t>
      </w:r>
    </w:p>
    <w:p w14:paraId="3CFB52FF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A9EB6B0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5D33FBA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440887B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AC09C38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A35D966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EE1FBB7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E827744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E265919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AB7BB8D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5A2D41C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AFFF61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4E4F179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E108280" w14:textId="77777777"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A6B56A6" w14:textId="77777777"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2E7D261" w14:textId="77777777"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7EB64C" w14:textId="77777777"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2243A07" w14:textId="77777777"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2D31620" w14:textId="77777777"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704C5EF" w14:textId="77777777"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2A227C" w14:textId="77777777"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F50069A" w14:textId="77777777" w:rsidR="001F02E3" w:rsidRDefault="001F02E3" w:rsidP="005E3B6E">
      <w:pPr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14:paraId="7EF0F37A" w14:textId="77777777" w:rsidR="001F02E3" w:rsidRDefault="001F02E3" w:rsidP="005E3B6E">
      <w:pPr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14:paraId="7273DF80" w14:textId="77777777" w:rsidR="001F02E3" w:rsidRDefault="001F02E3" w:rsidP="005E3B6E">
      <w:pPr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14:paraId="04722D5A" w14:textId="77777777" w:rsidR="001F02E3" w:rsidRDefault="001F02E3" w:rsidP="005E3B6E">
      <w:pPr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14:paraId="315BDCC1" w14:textId="77777777" w:rsidR="001F02E3" w:rsidRDefault="001F02E3" w:rsidP="005E3B6E">
      <w:pPr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14:paraId="616A235B" w14:textId="77777777" w:rsidR="001F02E3" w:rsidRDefault="001F02E3" w:rsidP="005E3B6E">
      <w:pPr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14:paraId="5479E5E2" w14:textId="2C30A657" w:rsidR="005E3B6E" w:rsidRPr="001F02E3" w:rsidRDefault="005E3B6E" w:rsidP="005E3B6E">
      <w:pPr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F02E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АЛМАТЫ</w:t>
      </w:r>
      <w:r w:rsidR="001F02E3" w:rsidRPr="001F02E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1F02E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202</w:t>
      </w:r>
      <w:r w:rsidR="00B22CBF" w:rsidRPr="001F02E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4</w:t>
      </w:r>
      <w:r w:rsidRPr="001F02E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br w:type="page"/>
      </w:r>
    </w:p>
    <w:p w14:paraId="60E02BCC" w14:textId="65D9AC43" w:rsidR="001F02E3" w:rsidRPr="001F02E3" w:rsidRDefault="001F02E3" w:rsidP="001F02E3">
      <w:pPr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02E3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«Арақашықтықтан зерделеуге кіріспе және бейнелерді талдау» пәні бойынша қорытынды емтихан бағдарламасы «6B05205-География» білім беру бағдарламасы бойынша әл-Фараби атындағы ҚазҰУ география, жерге орналастыру және кадастр кафедрасының аға оқытушысы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1F02E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Pr="001F02E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Зұлпыхаров</w:t>
      </w:r>
      <w:r w:rsidRPr="001F02E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құрастырды.</w:t>
      </w:r>
    </w:p>
    <w:p w14:paraId="12FD2A46" w14:textId="77777777" w:rsidR="001F02E3" w:rsidRP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54B67E5" w14:textId="77777777" w:rsid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C8B43C6" w14:textId="77777777" w:rsidR="001F02E3" w:rsidRP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8DD72F8" w14:textId="77777777" w:rsidR="001F02E3" w:rsidRP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2903F1B" w14:textId="77777777" w:rsidR="001F02E3" w:rsidRP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2D1AC53" w14:textId="77777777" w:rsidR="001F02E3" w:rsidRP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География, </w:t>
      </w: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</w:rPr>
        <w:t>жерге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</w:rPr>
        <w:t>орналастыру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 кадастр </w:t>
      </w: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</w:rPr>
        <w:t>кафедрасының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0CCCADD" w14:textId="77777777" w:rsidR="001F02E3" w:rsidRP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</w:rPr>
        <w:t>мәжілісінде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</w:rPr>
        <w:t>қаралды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</w:rPr>
        <w:t>ұсынылды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8F4A89" w14:textId="77777777" w:rsidR="001F02E3" w:rsidRP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32B6A32" w14:textId="77777777" w:rsidR="001F02E3" w:rsidRP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F02E3">
        <w:rPr>
          <w:rFonts w:ascii="Times New Roman" w:hAnsi="Times New Roman" w:cs="Times New Roman"/>
          <w:color w:val="000000"/>
          <w:sz w:val="28"/>
          <w:szCs w:val="28"/>
          <w:u w:val="single"/>
        </w:rPr>
        <w:t>№ 4</w:t>
      </w:r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</w:rPr>
        <w:t>хаттама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1F02E3">
        <w:rPr>
          <w:rFonts w:ascii="Times New Roman" w:hAnsi="Times New Roman" w:cs="Times New Roman"/>
          <w:color w:val="000000"/>
          <w:sz w:val="28"/>
          <w:szCs w:val="28"/>
          <w:u w:val="single"/>
        </w:rPr>
        <w:t>28</w:t>
      </w:r>
      <w:r w:rsidRPr="001F02E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F02E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  <w:u w:val="single"/>
        </w:rPr>
        <w:t>қазан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 2024 ж.</w:t>
      </w:r>
    </w:p>
    <w:p w14:paraId="6395E6E4" w14:textId="77777777" w:rsidR="001F02E3" w:rsidRP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8C793DF" w14:textId="77777777" w:rsidR="001F02E3" w:rsidRP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C0527F0" w14:textId="7C99142B" w:rsidR="005E3B6E" w:rsidRPr="001F02E3" w:rsidRDefault="001F02E3" w:rsidP="001F02E3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</w:rPr>
        <w:t>меңгерушісі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</w:t>
      </w:r>
      <w:proofErr w:type="spellStart"/>
      <w:r w:rsidRPr="001F02E3">
        <w:rPr>
          <w:rFonts w:ascii="Times New Roman" w:hAnsi="Times New Roman" w:cs="Times New Roman"/>
          <w:color w:val="000000"/>
          <w:sz w:val="28"/>
          <w:szCs w:val="28"/>
        </w:rPr>
        <w:t>Токбергенова</w:t>
      </w:r>
      <w:proofErr w:type="spellEnd"/>
      <w:r w:rsidRPr="001F02E3"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</w:p>
    <w:p w14:paraId="2CD9EB2B" w14:textId="77777777" w:rsidR="005E3B6E" w:rsidRPr="00A4115F" w:rsidRDefault="005E3B6E" w:rsidP="005E3B6E">
      <w:pPr>
        <w:rPr>
          <w:color w:val="000000"/>
          <w:lang w:val="kk-KZ"/>
        </w:rPr>
      </w:pPr>
    </w:p>
    <w:p w14:paraId="3F1FA750" w14:textId="77777777"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14:paraId="3C6287F9" w14:textId="77777777"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14:paraId="2B07221E" w14:textId="77777777"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FA3146"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14:paraId="4BB49763" w14:textId="77777777"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 xml:space="preserve">ақпараттық технологиялар,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14:paraId="6A209D89" w14:textId="77777777"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14:paraId="0048722E" w14:textId="77777777"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14:paraId="76510747" w14:textId="715CCD2A"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</w:t>
      </w:r>
      <w:r w:rsidR="00BB044D" w:rsidRPr="00BB044D">
        <w:rPr>
          <w:szCs w:val="23"/>
          <w:lang w:val="kk-KZ"/>
        </w:rPr>
        <w:t>4</w:t>
      </w:r>
      <w:r w:rsidRPr="005E3B6E">
        <w:rPr>
          <w:szCs w:val="23"/>
          <w:lang w:val="kk-KZ"/>
        </w:rPr>
        <w:t xml:space="preserve">0% - ы пән бойынша қорытынды баға. </w:t>
      </w:r>
    </w:p>
    <w:p w14:paraId="1D913452" w14:textId="77777777"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14:paraId="6690E383" w14:textId="77777777"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тестіле</w:t>
      </w:r>
      <w:r w:rsidRPr="00591D4C">
        <w:rPr>
          <w:szCs w:val="23"/>
          <w:lang w:val="kk-KZ"/>
        </w:rPr>
        <w:t xml:space="preserve">у. </w:t>
      </w:r>
      <w:r w:rsidRPr="00306B87">
        <w:rPr>
          <w:lang w:val="kk-KZ"/>
        </w:rPr>
        <w:t>СДО Moodle</w:t>
      </w:r>
      <w:r w:rsidRPr="00591D4C">
        <w:rPr>
          <w:szCs w:val="23"/>
          <w:lang w:val="kk-KZ"/>
        </w:rPr>
        <w:t xml:space="preserve"> жүйесі арқылы онлайн іске асырылады. Тестілеуді бақылау - интерактивті прокторинг арқылы жүзеге асады.</w:t>
      </w:r>
    </w:p>
    <w:p w14:paraId="5F74FB7E" w14:textId="77777777"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14:paraId="25E107FC" w14:textId="77777777"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14:paraId="44FC2803" w14:textId="77777777"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14:paraId="1897D049" w14:textId="77777777"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>Пән бойынша жалпы тест жинағы 75 сұрақтан тұрады, әрбір тест сұрағында 5 жауап нұсқасы, оның ішінде 1 дұрыс жауап берілген.</w:t>
      </w:r>
    </w:p>
    <w:p w14:paraId="131E4827" w14:textId="77777777"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25 сұрақ және 60 минут уақыт беріледі.</w:t>
      </w:r>
    </w:p>
    <w:p w14:paraId="0BC2CC86" w14:textId="77777777"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Балл қою уақыты: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баллдар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тестілеу аяқталғаннан кейін бірден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автоматты түрде қойылады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14:paraId="4B2CE7AD" w14:textId="77777777"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Максималды баға</w:t>
      </w:r>
      <w:r w:rsidRPr="00280C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 тест-сұраққа дұрыс жауап берген жағдайда 100 балл деп бағаланады. Әр дұрыс жауапқа 4 балл.</w:t>
      </w:r>
    </w:p>
    <w:p w14:paraId="14C0BE21" w14:textId="77777777"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14:paraId="414AA924" w14:textId="77777777" w:rsidR="00587704" w:rsidRPr="00591D4C" w:rsidRDefault="00587704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14:paraId="6847A9E9" w14:textId="77777777"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14:paraId="204E35B3" w14:textId="77777777"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14:paraId="736ED6A3" w14:textId="77777777"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Интернетке қосылудың қол жетімділігі мен жылдамдығын тексеру</w:t>
      </w:r>
    </w:p>
    <w:p w14:paraId="7E2D1768" w14:textId="77777777"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14:paraId="22E7FC13" w14:textId="77777777"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құжаттарды дайындау</w:t>
      </w:r>
    </w:p>
    <w:p w14:paraId="38BE3227" w14:textId="77777777"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14:paraId="7396E66B" w14:textId="77777777"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14:paraId="7F12986B" w14:textId="77777777"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14:paraId="076E4353" w14:textId="77777777"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14:paraId="2C1983C5" w14:textId="77777777" w:rsidR="00587704" w:rsidRPr="00200849" w:rsidRDefault="00587704" w:rsidP="00587704">
      <w:pPr>
        <w:pStyle w:val="Default"/>
        <w:rPr>
          <w:lang w:val="kk-KZ"/>
        </w:rPr>
      </w:pPr>
    </w:p>
    <w:p w14:paraId="69E0F461" w14:textId="77777777"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14:paraId="760C28F1" w14:textId="77777777"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14:paraId="4B8BA17B" w14:textId="77777777"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14:paraId="46BED64E" w14:textId="77777777"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1. ЖҚЗ деректерін масштаб және кеңістіктік бойынша жүйелеу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сәулелену диапазоны,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суреттерді алудың технологиялық тәсілдері.</w:t>
      </w:r>
    </w:p>
    <w:p w14:paraId="22305A62" w14:textId="77777777"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2. ЖҚЗ материалдарының негізгі сипаттамалары: кеңістіктік, радиометриялық, спектрлік, уақыттық ажыратымдылық.</w:t>
      </w:r>
    </w:p>
    <w:p w14:paraId="34083898" w14:textId="77777777"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3. Ғаламдық спутниктік қашықтықтан зондтау деректері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интернет желілері. ДЗ - ны қолданудың заманауи тәсілінің принциптері.</w:t>
      </w:r>
    </w:p>
    <w:p w14:paraId="3A6FF4A3" w14:textId="77777777"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Сандық сурет туралы түсінік. Пиксельді кескінді жалпылау үлгілері: шағын объектовам нысандардың қайталануы,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тұрақты және тұрақты емес орналастырудың дисперсті объектілері, түзу сызықты объектілер. </w:t>
      </w:r>
    </w:p>
    <w:p w14:paraId="7408EDC0" w14:textId="77777777"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ЖҚЗ деректерін ұсыну форматтары (BIP, BIL, BSQ).</w:t>
      </w:r>
    </w:p>
    <w:p w14:paraId="1595C51B" w14:textId="77777777"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ЖҚЗ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өңдеуге арналған бағдарламалық жасақтаманың ерекшелігі. Кәдімгі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кескінді өңдеу жүйелерінен айырмашылықтар.</w:t>
      </w:r>
    </w:p>
    <w:p w14:paraId="2DB75515" w14:textId="77777777"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ЖҚЗ деректерін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өңдеуге арналған бағдарламалық пакеттер. Сандық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ағдарламалар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фотограмметриялық кескінді өңдеу.</w:t>
      </w:r>
    </w:p>
    <w:p w14:paraId="6D47C9E9" w14:textId="77777777"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ЖҚЗ деректерін өңдеу кезеңдері мен деңгейлері.</w:t>
      </w:r>
    </w:p>
    <w:p w14:paraId="7619F431" w14:textId="77777777"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Ғарыштық суреттерді сандық өңдеу әдістерінің жіктелуі.</w:t>
      </w:r>
    </w:p>
    <w:p w14:paraId="5CB9E214" w14:textId="77777777"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Кескіндерді геометриялық түзету әдістері. </w:t>
      </w:r>
    </w:p>
    <w:p w14:paraId="6222F0DB" w14:textId="77777777"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Сандық кескіндерді радиометриялық түзету.</w:t>
      </w:r>
    </w:p>
    <w:p w14:paraId="717EE85C" w14:textId="77777777" w:rsidR="00534ECE" w:rsidRDefault="00FA3146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Суреттердің кеңістіктік ажыратымдылығын жақсарту. Әдістері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суреттердің кеңістіктік ажыратымдылығын жақсарту алғышарттар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кескіннің кеңістіктік ажыратымдылығын жақсартудың шектеулері.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Жақсартылған кеңістіктік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ажыратымдылықтағы кескін сапасын бағалау.</w:t>
      </w:r>
    </w:p>
    <w:p w14:paraId="2CA4F35B" w14:textId="77777777" w:rsidR="00FA3146" w:rsidRDefault="00FA3146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34EC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34ECE" w:rsidRPr="00534ECE">
        <w:rPr>
          <w:rFonts w:ascii="Times New Roman" w:hAnsi="Times New Roman" w:cs="Times New Roman"/>
          <w:sz w:val="24"/>
          <w:szCs w:val="24"/>
          <w:lang w:val="kk-KZ"/>
        </w:rPr>
        <w:t>Кескінді тану тәсілдері. Детерминистік, статистикалық, нейрокомпьютерлік тәсілдер.</w:t>
      </w:r>
    </w:p>
    <w:p w14:paraId="4F18AD1E" w14:textId="77777777"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Бақыланбайтын жіктеу. Кескінді кластерлеу критерийлері. К-орташа кластерлеу әдісі. Isodata кластерлеу әдісі.</w:t>
      </w:r>
    </w:p>
    <w:p w14:paraId="00B6478C" w14:textId="77777777"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Шифрды шешуді автоматтандыру мәселелері. Белгілердің оңтайлы кеңістігін қалыптастыру. ЖҚЗ материалдары бойынша компьютерлік дешифрлеу тәсілдері.</w:t>
      </w:r>
    </w:p>
    <w:p w14:paraId="6BE36BB2" w14:textId="77777777"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Атмосфераның ластануын бағалау үшін ғарыштық суреттерді сандық өңдеуді қолдану.</w:t>
      </w:r>
    </w:p>
    <w:p w14:paraId="0EA78175" w14:textId="77777777"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Топырақ және ауыл шаруашылығы жерлерінің жағдайын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 xml:space="preserve"> бағалау үшін ғарыштық суреттерді цифрлық өңдеуді қолдану.</w:t>
      </w:r>
    </w:p>
    <w:p w14:paraId="4B1E12D6" w14:textId="77777777"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Ауылшаруашылық мониторингі мақсатында ғарыштық суреттерді цифрлық өңдеуді қолдану.</w:t>
      </w:r>
    </w:p>
    <w:p w14:paraId="5BC57175" w14:textId="77777777"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Жер жамылғысына антропогендік әсерді бағалау үшін ғарыштық суреттерді цифрлық өңдеуді қолдану.</w:t>
      </w:r>
    </w:p>
    <w:p w14:paraId="409E8DEA" w14:textId="77777777"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Негізгі әдебиеттер тізімі:</w:t>
      </w:r>
    </w:p>
    <w:p w14:paraId="761CEA88" w14:textId="77777777" w:rsidR="000C3BF8" w:rsidRDefault="000C3BF8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BAFA450" w14:textId="77777777" w:rsidR="000C3BF8" w:rsidRPr="000C3BF8" w:rsidRDefault="000C3BF8" w:rsidP="000C3BF8">
      <w:pPr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C3BF8">
        <w:rPr>
          <w:rFonts w:ascii="Times New Roman" w:hAnsi="Times New Roman" w:cs="Times New Roman"/>
          <w:sz w:val="24"/>
          <w:szCs w:val="24"/>
        </w:rPr>
        <w:t>1. Трифонова Т. А., Мищенко Н. В., Краснощеков А. Н. Геоинформационные системы и дистанционное зондирование в экологических исследованиях. ISBN: 978-5-8291-2999-6, Издательство «Академический Проект» –2020, 352 с.</w:t>
      </w:r>
    </w:p>
    <w:p w14:paraId="4C3F9443" w14:textId="77777777" w:rsidR="000C3BF8" w:rsidRPr="000C3BF8" w:rsidRDefault="000C3BF8" w:rsidP="000C3BF8">
      <w:pPr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C3BF8">
        <w:rPr>
          <w:rFonts w:ascii="Times New Roman" w:hAnsi="Times New Roman" w:cs="Times New Roman"/>
          <w:sz w:val="24"/>
          <w:szCs w:val="24"/>
        </w:rPr>
        <w:t xml:space="preserve">2. Владимиров, В. М., Дмитриев, Д. Д., Дубровская, О. А., </w:t>
      </w:r>
      <w:proofErr w:type="spellStart"/>
      <w:r w:rsidRPr="000C3BF8">
        <w:rPr>
          <w:rFonts w:ascii="Times New Roman" w:hAnsi="Times New Roman" w:cs="Times New Roman"/>
          <w:sz w:val="24"/>
          <w:szCs w:val="24"/>
        </w:rPr>
        <w:t>Кармишин</w:t>
      </w:r>
      <w:proofErr w:type="spellEnd"/>
      <w:r w:rsidRPr="000C3BF8">
        <w:rPr>
          <w:rFonts w:ascii="Times New Roman" w:hAnsi="Times New Roman" w:cs="Times New Roman"/>
          <w:sz w:val="24"/>
          <w:szCs w:val="24"/>
        </w:rPr>
        <w:t>, А. М., Тяпкин, В. Н., Фатеев, Ю. Л., Иванов, В. В. Дистанционное зондирование земли. ISBN: 978-5-7638-3084-2, Издательство: Сибирский Федеральный Университет, 2014, 196с.</w:t>
      </w:r>
    </w:p>
    <w:p w14:paraId="3E27AA47" w14:textId="77777777" w:rsidR="000C3BF8" w:rsidRPr="000C3BF8" w:rsidRDefault="000C3BF8" w:rsidP="000C3BF8">
      <w:pPr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C3BF8">
        <w:rPr>
          <w:rFonts w:ascii="Times New Roman" w:hAnsi="Times New Roman" w:cs="Times New Roman"/>
          <w:sz w:val="24"/>
          <w:szCs w:val="24"/>
        </w:rPr>
        <w:t>3. Изместьев А.Г. Фотограмметрия и дистанционные методы зондирования Земли [Электронный ресурс]: учебное пособие / А.Г. Изместьев. — Электрон</w:t>
      </w:r>
      <w:proofErr w:type="gramStart"/>
      <w:r w:rsidRPr="000C3B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3BF8">
        <w:rPr>
          <w:rFonts w:ascii="Times New Roman" w:hAnsi="Times New Roman" w:cs="Times New Roman"/>
          <w:sz w:val="24"/>
          <w:szCs w:val="24"/>
        </w:rPr>
        <w:t xml:space="preserve"> дан. — Кемерово: КузГТУ имени Т.Ф. Горбачева, 2017. — 119 с.</w:t>
      </w:r>
    </w:p>
    <w:p w14:paraId="07D0DC18" w14:textId="77777777" w:rsidR="00C928E0" w:rsidRDefault="00C928E0" w:rsidP="00C928E0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984B4C" w14:textId="77777777" w:rsidR="000E7867" w:rsidRDefault="000E7867" w:rsidP="00C928E0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BC0BF6C" w14:textId="0FB64ACB" w:rsidR="000C3BF8" w:rsidRPr="000C3BF8" w:rsidRDefault="000C3BF8" w:rsidP="000C3BF8">
      <w:pPr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C3BF8">
        <w:rPr>
          <w:rFonts w:ascii="Times New Roman" w:hAnsi="Times New Roman" w:cs="Times New Roman"/>
          <w:sz w:val="24"/>
          <w:szCs w:val="24"/>
        </w:rPr>
        <w:t>. Дистанционное зондирование Земли: учебное пособие / Министерство образования и науки Российской Федерации, Сибирский Федеральный университет; под ред. В.М. Владимирова. - Красноярск: Сибирский федеральный университет, 2014. - 196 с.</w:t>
      </w:r>
    </w:p>
    <w:p w14:paraId="6C7C6D7F" w14:textId="017D74FC" w:rsidR="000C3BF8" w:rsidRPr="000C3BF8" w:rsidRDefault="000C3BF8" w:rsidP="000C3BF8">
      <w:pPr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C3BF8">
        <w:rPr>
          <w:rFonts w:ascii="Times New Roman" w:hAnsi="Times New Roman" w:cs="Times New Roman"/>
          <w:sz w:val="24"/>
          <w:szCs w:val="24"/>
        </w:rPr>
        <w:t xml:space="preserve">. Шошина, К.В. Геоинформационные системы и дистанционное зондирование: учебное пособие. - Архангельск: ИД САФУ, 2014. - Ч. 1. - 76 </w:t>
      </w:r>
      <w:proofErr w:type="gramStart"/>
      <w:r w:rsidRPr="000C3BF8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0C3BF8">
        <w:rPr>
          <w:rFonts w:ascii="Times New Roman" w:hAnsi="Times New Roman" w:cs="Times New Roman"/>
          <w:sz w:val="24"/>
          <w:szCs w:val="24"/>
        </w:rPr>
        <w:t xml:space="preserve"> ил. - </w:t>
      </w:r>
      <w:proofErr w:type="spellStart"/>
      <w:r w:rsidRPr="000C3BF8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0C3BF8">
        <w:rPr>
          <w:rFonts w:ascii="Times New Roman" w:hAnsi="Times New Roman" w:cs="Times New Roman"/>
          <w:sz w:val="24"/>
          <w:szCs w:val="24"/>
        </w:rPr>
        <w:t>. в кн. - ISBN 978-5-261- 00917-7;</w:t>
      </w:r>
    </w:p>
    <w:p w14:paraId="4549D016" w14:textId="77777777" w:rsidR="000C3BF8" w:rsidRPr="000C3BF8" w:rsidRDefault="000C3BF8" w:rsidP="00C928E0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1A8B7" w14:textId="77777777" w:rsidR="000E7867" w:rsidRPr="00C928E0" w:rsidRDefault="000E7867" w:rsidP="00C928E0">
      <w:pPr>
        <w:pStyle w:val="a3"/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8E0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928E0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928E0">
        <w:rPr>
          <w:rFonts w:ascii="Times New Roman" w:hAnsi="Times New Roman" w:cs="Times New Roman"/>
          <w:b/>
          <w:sz w:val="24"/>
          <w:szCs w:val="24"/>
        </w:rPr>
        <w:t>:</w:t>
      </w:r>
    </w:p>
    <w:p w14:paraId="34A243C1" w14:textId="77777777" w:rsidR="000E7867" w:rsidRPr="00CA241F" w:rsidRDefault="000E7867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- ESRI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ERDAS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веб-сайты.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14:paraId="500E23B2" w14:textId="77777777" w:rsidR="000E7867" w:rsidRPr="00CA241F" w:rsidRDefault="000E7867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14:paraId="497C42AC" w14:textId="77777777" w:rsidR="000E7867" w:rsidRPr="00CA241F" w:rsidRDefault="000E7867" w:rsidP="000E7867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14:paraId="3F16A69D" w14:textId="77777777" w:rsidR="000E7867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642E7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C2561"/>
    <w:multiLevelType w:val="hybridMultilevel"/>
    <w:tmpl w:val="2FAE9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071EF9"/>
    <w:multiLevelType w:val="hybridMultilevel"/>
    <w:tmpl w:val="C5B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713212">
    <w:abstractNumId w:val="1"/>
  </w:num>
  <w:num w:numId="2" w16cid:durableId="1816528677">
    <w:abstractNumId w:val="2"/>
  </w:num>
  <w:num w:numId="3" w16cid:durableId="1915430879">
    <w:abstractNumId w:val="7"/>
  </w:num>
  <w:num w:numId="4" w16cid:durableId="1126658171">
    <w:abstractNumId w:val="5"/>
  </w:num>
  <w:num w:numId="5" w16cid:durableId="1415203760">
    <w:abstractNumId w:val="4"/>
  </w:num>
  <w:num w:numId="6" w16cid:durableId="545988985">
    <w:abstractNumId w:val="0"/>
  </w:num>
  <w:num w:numId="7" w16cid:durableId="631446471">
    <w:abstractNumId w:val="6"/>
  </w:num>
  <w:num w:numId="8" w16cid:durableId="1169099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D0"/>
    <w:rsid w:val="00005FA7"/>
    <w:rsid w:val="0008335D"/>
    <w:rsid w:val="000B466C"/>
    <w:rsid w:val="000C3BF8"/>
    <w:rsid w:val="000E1D41"/>
    <w:rsid w:val="000E7867"/>
    <w:rsid w:val="001F02E3"/>
    <w:rsid w:val="001F1DCA"/>
    <w:rsid w:val="00200849"/>
    <w:rsid w:val="00245EA8"/>
    <w:rsid w:val="002C4DD7"/>
    <w:rsid w:val="00327ED0"/>
    <w:rsid w:val="003E02FF"/>
    <w:rsid w:val="00493262"/>
    <w:rsid w:val="004C1303"/>
    <w:rsid w:val="00534ECE"/>
    <w:rsid w:val="00583B8C"/>
    <w:rsid w:val="00587704"/>
    <w:rsid w:val="005A5574"/>
    <w:rsid w:val="005D346A"/>
    <w:rsid w:val="005E3B6E"/>
    <w:rsid w:val="007866D6"/>
    <w:rsid w:val="007E6591"/>
    <w:rsid w:val="0080047B"/>
    <w:rsid w:val="008357EE"/>
    <w:rsid w:val="00861051"/>
    <w:rsid w:val="008F6E62"/>
    <w:rsid w:val="00906CF6"/>
    <w:rsid w:val="0091284B"/>
    <w:rsid w:val="00942AD0"/>
    <w:rsid w:val="00996929"/>
    <w:rsid w:val="00B12DDF"/>
    <w:rsid w:val="00B22CBF"/>
    <w:rsid w:val="00BB044D"/>
    <w:rsid w:val="00BF5F09"/>
    <w:rsid w:val="00C529E9"/>
    <w:rsid w:val="00C646B7"/>
    <w:rsid w:val="00C928E0"/>
    <w:rsid w:val="00CE672E"/>
    <w:rsid w:val="00CF3D40"/>
    <w:rsid w:val="00CF40C9"/>
    <w:rsid w:val="00DA4114"/>
    <w:rsid w:val="00DC605D"/>
    <w:rsid w:val="00ED4C8A"/>
    <w:rsid w:val="00ED5DCE"/>
    <w:rsid w:val="00F2474C"/>
    <w:rsid w:val="00F33DFB"/>
    <w:rsid w:val="00F52D45"/>
    <w:rsid w:val="00FA3146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7879"/>
  <w15:docId w15:val="{462D0280-C9DC-4102-97E7-7572021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Zul Kanat</cp:lastModifiedBy>
  <cp:revision>4</cp:revision>
  <dcterms:created xsi:type="dcterms:W3CDTF">2024-11-04T15:45:00Z</dcterms:created>
  <dcterms:modified xsi:type="dcterms:W3CDTF">2024-11-04T15:54:00Z</dcterms:modified>
</cp:coreProperties>
</file>